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78" w:rsidRDefault="00A00578" w:rsidP="00A00578">
      <w:pPr>
        <w:contextualSpacing/>
      </w:pPr>
    </w:p>
    <w:p w:rsidR="00A00578" w:rsidRDefault="00A00578" w:rsidP="00A00578">
      <w:pPr>
        <w:contextualSpacing/>
      </w:pPr>
    </w:p>
    <w:p w:rsidR="00A00578" w:rsidRDefault="00A00578" w:rsidP="00A00578">
      <w:pPr>
        <w:contextualSpacing/>
      </w:pPr>
    </w:p>
    <w:p w:rsidR="00A00578" w:rsidRPr="008811F2" w:rsidRDefault="00A00578" w:rsidP="00A00578">
      <w:pPr>
        <w:contextualSpacing/>
        <w:rPr>
          <w:sz w:val="28"/>
          <w:szCs w:val="28"/>
        </w:rPr>
      </w:pPr>
      <w:r w:rsidRPr="008811F2">
        <w:rPr>
          <w:sz w:val="28"/>
          <w:szCs w:val="28"/>
        </w:rPr>
        <w:t xml:space="preserve">OBRAZLOŽENJE PRIJEDLOGA FINANCIJSKOG PLANA ZA 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Pr="008811F2" w:rsidRDefault="00A00578" w:rsidP="00A00578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8811F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811F2">
        <w:rPr>
          <w:sz w:val="28"/>
          <w:szCs w:val="28"/>
        </w:rPr>
        <w:t xml:space="preserve"> - 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>
        <w:rPr>
          <w:sz w:val="28"/>
          <w:szCs w:val="28"/>
        </w:rPr>
        <w:t>. godine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Pr="008811F2" w:rsidRDefault="00A00578" w:rsidP="00A00578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 xml:space="preserve">Razdjel/glava:  </w:t>
      </w:r>
      <w:r>
        <w:rPr>
          <w:sz w:val="24"/>
          <w:szCs w:val="24"/>
        </w:rPr>
        <w:t>08660</w:t>
      </w:r>
    </w:p>
    <w:p w:rsidR="00A00578" w:rsidRPr="008811F2" w:rsidRDefault="00A00578" w:rsidP="00A00578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Aktivnost:  A</w:t>
      </w:r>
      <w:r>
        <w:rPr>
          <w:sz w:val="24"/>
          <w:szCs w:val="24"/>
        </w:rPr>
        <w:t xml:space="preserve"> </w:t>
      </w:r>
      <w:r w:rsidRPr="008811F2">
        <w:rPr>
          <w:sz w:val="24"/>
          <w:szCs w:val="24"/>
        </w:rPr>
        <w:t>734192</w:t>
      </w:r>
      <w:r>
        <w:rPr>
          <w:sz w:val="24"/>
          <w:szCs w:val="24"/>
        </w:rPr>
        <w:t>, A 795010</w:t>
      </w:r>
    </w:p>
    <w:p w:rsidR="00A00578" w:rsidRPr="008811F2" w:rsidRDefault="00A00578" w:rsidP="00A00578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Ustanova: 201  CENTAR ZA PRUŽANJE USLUGA U ZAJEDNICI VLADIMIR NAZOR , KARLOVAC</w:t>
      </w:r>
    </w:p>
    <w:p w:rsidR="00A00578" w:rsidRPr="008811F2" w:rsidRDefault="00A00578" w:rsidP="00A00578">
      <w:pPr>
        <w:contextualSpacing/>
        <w:rPr>
          <w:sz w:val="24"/>
          <w:szCs w:val="24"/>
        </w:rPr>
      </w:pPr>
    </w:p>
    <w:p w:rsidR="00A00578" w:rsidRPr="008811F2" w:rsidRDefault="00A00578" w:rsidP="00A00578">
      <w:pPr>
        <w:contextualSpacing/>
        <w:rPr>
          <w:sz w:val="24"/>
          <w:szCs w:val="24"/>
        </w:rPr>
      </w:pPr>
    </w:p>
    <w:p w:rsidR="00A00578" w:rsidRPr="008811F2" w:rsidRDefault="00A00578" w:rsidP="00A00578">
      <w:pPr>
        <w:contextualSpacing/>
        <w:rPr>
          <w:sz w:val="24"/>
          <w:szCs w:val="24"/>
        </w:rPr>
      </w:pPr>
    </w:p>
    <w:p w:rsidR="00A00578" w:rsidRPr="008811F2" w:rsidRDefault="00A00578" w:rsidP="00A00578">
      <w:pPr>
        <w:contextualSpacing/>
        <w:rPr>
          <w:b/>
          <w:sz w:val="28"/>
          <w:szCs w:val="28"/>
        </w:rPr>
      </w:pPr>
      <w:r w:rsidRPr="008811F2">
        <w:rPr>
          <w:b/>
          <w:sz w:val="28"/>
          <w:szCs w:val="28"/>
        </w:rPr>
        <w:t>UVOD</w:t>
      </w:r>
    </w:p>
    <w:p w:rsidR="00A00578" w:rsidRPr="008811F2" w:rsidRDefault="00A00578" w:rsidP="00A00578">
      <w:pPr>
        <w:contextualSpacing/>
        <w:rPr>
          <w:b/>
          <w:sz w:val="24"/>
          <w:szCs w:val="24"/>
        </w:rPr>
      </w:pPr>
    </w:p>
    <w:p w:rsidR="00A00578" w:rsidRPr="008811F2" w:rsidRDefault="00A00578" w:rsidP="00A00578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Centar za pružanje usluga u zajednici Vladimir Nazor Karlovac ima za cilj osigurati sustavn</w:t>
      </w:r>
      <w:r>
        <w:rPr>
          <w:sz w:val="24"/>
          <w:szCs w:val="24"/>
        </w:rPr>
        <w:t>u</w:t>
      </w:r>
      <w:r w:rsidRPr="008811F2">
        <w:rPr>
          <w:sz w:val="24"/>
          <w:szCs w:val="24"/>
        </w:rPr>
        <w:t xml:space="preserve"> i</w:t>
      </w:r>
    </w:p>
    <w:p w:rsidR="00A00578" w:rsidRDefault="00A00578" w:rsidP="00A00578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cjelovitu pomoć  djeci i mladima koja su bila izložena raznim oblicima traumatskih iskustava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unutar  primarne obitelji ili je ta obitelj iz nekih drugih razloga bila nemoćna se brinuti o djetetu (bolest i sl.). Povrh toga Centar pruža usluge savjetovanja podrške mladima koji su izašli iz skrbi, </w:t>
      </w:r>
      <w:proofErr w:type="spellStart"/>
      <w:r>
        <w:rPr>
          <w:sz w:val="24"/>
          <w:szCs w:val="24"/>
        </w:rPr>
        <w:t>posvojiteljskim</w:t>
      </w:r>
      <w:proofErr w:type="spellEnd"/>
      <w:r>
        <w:rPr>
          <w:sz w:val="24"/>
          <w:szCs w:val="24"/>
        </w:rPr>
        <w:t xml:space="preserve"> obiteljima, udomiteljskim obiteljima te kontinuirano radi sa roditeljima djece uključene u poludnevni i cjelodnevni boravak.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U brizi o djeci, te prilikom pružanja psihosocijalnih usluga dominiraju slijedeće značajke: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pruža im se multidisciplinarna i sveobuhvatna podrška i pomoć u procesu odrastanja i sazrijevanja</w:t>
      </w:r>
    </w:p>
    <w:p w:rsidR="00A00578" w:rsidRDefault="00A00578" w:rsidP="00A005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krajnji cilj skrbi i ulaganja napora je da se u što kraćem roku ostvare uvjeti za povratak djeteta u vlastitu obitelj, odnosno kada nema izgleda za povratak u obitelj , ostvare uvjeti za trajno zbrinjavanje posvojenjem ili smještajem u udomiteljski obitelj</w:t>
      </w:r>
    </w:p>
    <w:p w:rsidR="00A00578" w:rsidRDefault="00A00578" w:rsidP="00A00578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:rsidR="00A00578" w:rsidRDefault="00A00578" w:rsidP="00A00578">
      <w:pPr>
        <w:rPr>
          <w:sz w:val="24"/>
          <w:szCs w:val="24"/>
        </w:rPr>
      </w:pPr>
      <w:r>
        <w:rPr>
          <w:b/>
          <w:sz w:val="28"/>
          <w:szCs w:val="28"/>
        </w:rPr>
        <w:t>DJELATNOST CENTRA</w:t>
      </w:r>
    </w:p>
    <w:p w:rsidR="00A00578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Ustanova je utemeljena 1965.godine Odlukom Skupštine Općine Karlovac. 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Danas je to državna Ustanova u sastavu Ministarstva za demografiju, obitelj, mlade i socijalnu politiku.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Sjedište Ustanove je u Karlovcu, u ulici Vladimira Nazora 10.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Osnovna djelatnost Ustanove je pružanje socijalnih usluga.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Broj zaposlenih na dan 31.8.2021 je 27.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Smještaj korisnika realizira se 24 sata dnevno i to  tijekom cijele godine.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Kapacitet Ustanove je 15 korisnika na smještaju.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Trenutno je brojčano stanje 17 korisnika na smještaju, te smo u očekivanju još 5 djece, 51  djece u poludnevnom boravku , jedno dijete na cjelodnevnom boravku i jedno u organiziranom stanovanju uz povremenu podršku. 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Proces kontinuiranog smanjivanja djece na stalnom smještaju provodi se sukladno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planu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kojeg prati i kontinuirano povećanje djece kojima se pruža usluga cjelodnevnog i poludnevnog boravka.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Pokrenuli smo  organizirano stanovanje i poludnevni boravak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>, te nas traže još neke druge OŠ van grada Karlovca o čemu ćemo razmisliti sukladno mogućnostima.  Zbog navedenog je za očekivati povećanje broja korisnika u poludnevnom boravku.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BORAVAK  </w:t>
      </w:r>
      <w:r>
        <w:rPr>
          <w:sz w:val="24"/>
          <w:szCs w:val="24"/>
        </w:rPr>
        <w:t>(poludnevni boravak ) tretman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Ova vrsta usluge uključuje cjelodnevni i poludnevni boravak. Program polaze djeca kojoj je potrebna pomoć u učenju, jačanju samopouzdanja i osamostaljivanju, a uz navedeno im se također zadovoljava prehrana, organizira slobodno vrijeme te utječe na stavove, interese, vrijednosti i navike. Ovi korisnici dio dana provode u školi, dio u Ustanovi, a spavaju kod kuće.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Paralelno kako sa korisnicima tako se radi i sa roditeljima djece.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Korisnici provode vrijeme u Ustanovi u suprotnoj smjeni od škole a radi se o djeci čiji je pravilan psihofizički rast i razvoj unutar obitelji djelomično ugrožen, no ipak ne postoje potpuno opravdani čimbenici za izdvajanje iz obitelji.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Radi se zapravo o preventivnom programu, te u Centru ima ukupno 51 djece na poludnevnom boravku od čega je 1   grupa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 xml:space="preserve"> .  Uslugu cjelodnevnog boravka koristi jedno dijete.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Obzirom na potrebu iznalaženja načina pomoći djeci sukladno programu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provode  se dodatne aktivnosti ( sa Centrima za socijalnu skrb, školama) u cilju trijaže, odnosno pravovremenog reagiranja i preventivnog djelovanja, a kako bi se na našem području pokušala smanjiti institucionalizacija, koliko je to objektivno moguće.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Očekujemo kontinuitet u razvoju usluge poludnevnog boravka.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ORGANITIRANO STANOVANJE UZ </w:t>
      </w:r>
      <w:r>
        <w:rPr>
          <w:b/>
          <w:sz w:val="28"/>
          <w:szCs w:val="28"/>
        </w:rPr>
        <w:t xml:space="preserve">SVEOBUHVATNU </w:t>
      </w:r>
      <w:r>
        <w:rPr>
          <w:b/>
          <w:sz w:val="28"/>
          <w:szCs w:val="28"/>
        </w:rPr>
        <w:t xml:space="preserve"> PODRŠKU  </w:t>
      </w:r>
      <w:r>
        <w:rPr>
          <w:sz w:val="24"/>
          <w:szCs w:val="24"/>
        </w:rPr>
        <w:t xml:space="preserve"> (stambena zajednica )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Tijekom 2003.godine grad Karlovac je Ustanovi dodijelio stan u najam veličine 99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potrebe pružanja usluge ovog tipa. Stan se nalazi u samom središtu grada.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mjesecu lipnju 2015.godine dobiveno je rješenje Državnog ureda za upravljanje državnom imovinom da su imovinsko pravni odnosi usklađeni te smo  tada počeli sa pripremom stana za pružanje usluge. U stanu grijanje nije bilo adekvatno riješeno, te je organizirana donatorska humanitarna akcija u suradnji sa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klubom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, te je postavljen termo blok i pripadajući radijatori. Kapacitet stana je za 5 korisnika. 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Dana 1.12.2016.godine dobili smo rješenje nadležnog Ministarstva te je i ova socijalna usluga startala tako da je u njoj bilo smješteno troje korisnika. Sada imamo smješteno jednog korisnika. 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Dobili smo stan u </w:t>
      </w:r>
      <w:proofErr w:type="spellStart"/>
      <w:r>
        <w:rPr>
          <w:sz w:val="24"/>
          <w:szCs w:val="24"/>
        </w:rPr>
        <w:t>Nazorovoj</w:t>
      </w:r>
      <w:proofErr w:type="spellEnd"/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za stambenu zajednicu sa sveobuhvatno</w:t>
      </w:r>
      <w:r>
        <w:rPr>
          <w:sz w:val="24"/>
          <w:szCs w:val="24"/>
        </w:rPr>
        <w:t xml:space="preserve">m podrškom gdje bi moglo biti 5 </w:t>
      </w:r>
      <w:r>
        <w:rPr>
          <w:sz w:val="24"/>
          <w:szCs w:val="24"/>
        </w:rPr>
        <w:t>korisnika. Stan će  zahtijevati manja ulaganja te opremanje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 promjena vanjske stolarije , zahvat u kupaonici, bojanje zidova te opremanje n</w:t>
      </w:r>
      <w:r>
        <w:rPr>
          <w:sz w:val="24"/>
          <w:szCs w:val="24"/>
        </w:rPr>
        <w:t>amještajem), au postupku smo dobivanja i manjeg stana za organizirano stanovanje sa povremenom podrškom.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ZILIK </w:t>
      </w:r>
      <w:r>
        <w:rPr>
          <w:sz w:val="24"/>
          <w:szCs w:val="24"/>
        </w:rPr>
        <w:t>( tradicionalna Zimska likovna kolonija) sporedna ali izuzetno vrijedna djelatnost Centra.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U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.godini potrebno je bilo organizirati 4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likovnu koloniju te raditi pripreme za </w:t>
      </w:r>
      <w:r>
        <w:rPr>
          <w:sz w:val="24"/>
          <w:szCs w:val="24"/>
        </w:rPr>
        <w:t>50 jubilarnu</w:t>
      </w:r>
      <w:r>
        <w:rPr>
          <w:sz w:val="24"/>
          <w:szCs w:val="24"/>
        </w:rPr>
        <w:t xml:space="preserve"> likovnu koloniju koja će se održati tijekom mjeseca siječnja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.godine</w:t>
      </w:r>
      <w:r>
        <w:rPr>
          <w:sz w:val="24"/>
          <w:szCs w:val="24"/>
        </w:rPr>
        <w:t xml:space="preserve"> koja zahtjeva veća financijska sredstva zbog pripreme istog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Kontinuirano tijekom godine mijenjaju se postavi izložbi u našoj galeriji </w:t>
      </w:r>
      <w:proofErr w:type="spellStart"/>
      <w:r>
        <w:rPr>
          <w:sz w:val="24"/>
          <w:szCs w:val="24"/>
        </w:rPr>
        <w:t>Zilik</w:t>
      </w:r>
      <w:proofErr w:type="spellEnd"/>
      <w:r>
        <w:rPr>
          <w:sz w:val="24"/>
          <w:szCs w:val="24"/>
        </w:rPr>
        <w:t>, te je tijekom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.godine predviđeno otvaranje oko 6 –8 izložbi renomiranih umjetnika.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ZILIK traje od 1974.godine, te nam je u interesu da se ta hvale vrijedna tradicije održi i dalje. Riječ je o višednevnom druženju likovnih umjetnika sa djecom, otvaranju vrata prema lokalnoj zajednici, suradnji sa školama (osnovnim i srednjim) u i van Županije, dolascima Dječjih domova i Ustanova sa područja Republike Hrvatske. Izuzetnu vrijednost ovih druženja stavljena je na različite oblike komunikacije između djece i akademski renomiranih umjetnika kao i na uspostavljanje novih kontakata.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Istovremeno prostori Ustanove oplemenjuju se nastalim umjetničkim djelima, te čine prostor toplijim i prisnijim.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Pr="00CE73CB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Tijekom tjedna održavanja ZILIK-a , renomirani akademski umjetnici dva puta dnevno vode radionice kako sa našom djecom, tako i sa djecom iz raznih organizacija i škola koja 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dođu sudjelovati i biti dio naše „velike“ obitelji.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Djeca se uče različitim tehnikama rada u umjetnosti, a njihovi radovi krase naše prostore.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Djelovanjem ZILIK-a, naša je Ustanova tako poprimila i izraz izložbenog prostora, što  je čini jedinstvenom u tom pogledu i teško procjenjivom.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U financiranju kolonije kao i Galerije imamo pomoć Grada, Županije i Ministarstva kulture te se tome i dalje nadamo.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GALERIJSKA DJELATNOST</w:t>
      </w:r>
    </w:p>
    <w:p w:rsidR="00A00578" w:rsidRDefault="00A00578" w:rsidP="00A00578">
      <w:pPr>
        <w:contextualSpacing/>
        <w:rPr>
          <w:b/>
          <w:sz w:val="28"/>
          <w:szCs w:val="28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Galerijska djelatnost u sastavu osnovne djelatnosti realizira se organizacijom mjesečnih izložbi likovnih umjetnika koji sudjeluju humanitarnim doprinosom na ZILIK-u.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Galerijska djelatnost realizirat će se prema utvrđenom programu, a koji ovisi o mogućnostima umjetnika.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USKLIK</w:t>
      </w:r>
    </w:p>
    <w:p w:rsidR="00A00578" w:rsidRDefault="00A00578" w:rsidP="00A00578">
      <w:pPr>
        <w:contextualSpacing/>
        <w:rPr>
          <w:b/>
          <w:sz w:val="28"/>
          <w:szCs w:val="28"/>
        </w:rPr>
      </w:pPr>
    </w:p>
    <w:p w:rsidR="00A00578" w:rsidRPr="00E666E0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Manifestacija manjeg vremenskog i stvaralačkog obima, no također izuzetno bitna i vrijedna u svim aspektima o kojima je prethodno bila riječ. Ova događanja zbivaju se u pravilu u dane Uskrsa, a radionice vode likovni pedagozi. U ovu manifestaciju, pored naše djece i djece iz škola i ostalih Domova uključujemo i djecu iz vrtića. Radionice su obično tematski vezane za nadolazeći Uskrs, a radovi se izlažu u prostoru Ustanove i Galerije. Manifestacija obično traje dva dana.</w:t>
      </w:r>
    </w:p>
    <w:p w:rsidR="00A00578" w:rsidRPr="00E97A19" w:rsidRDefault="00A00578" w:rsidP="00A00578">
      <w:pPr>
        <w:contextualSpacing/>
        <w:rPr>
          <w:sz w:val="24"/>
          <w:szCs w:val="24"/>
        </w:rPr>
      </w:pPr>
    </w:p>
    <w:p w:rsidR="00A00578" w:rsidRPr="00CB553E" w:rsidRDefault="00A00578" w:rsidP="00A0057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CB553E">
        <w:rPr>
          <w:b/>
          <w:sz w:val="28"/>
          <w:szCs w:val="28"/>
        </w:rPr>
        <w:t>OBRAZLOŽENJE RASHODA I IZDATAKA – TEKUĆI RASHODI I RASHODI ZA ZAPOSLENE  ZA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– 202</w:t>
      </w:r>
      <w:r>
        <w:rPr>
          <w:b/>
          <w:sz w:val="28"/>
          <w:szCs w:val="28"/>
        </w:rPr>
        <w:t>5</w:t>
      </w:r>
      <w:r w:rsidRPr="00CB553E">
        <w:rPr>
          <w:b/>
          <w:sz w:val="28"/>
          <w:szCs w:val="28"/>
        </w:rPr>
        <w:t>. GODINU</w:t>
      </w:r>
    </w:p>
    <w:p w:rsidR="00A00578" w:rsidRDefault="00A00578" w:rsidP="00A00578">
      <w:pPr>
        <w:contextualSpacing/>
        <w:rPr>
          <w:b/>
          <w:sz w:val="28"/>
          <w:szCs w:val="28"/>
        </w:rPr>
      </w:pPr>
    </w:p>
    <w:p w:rsidR="00A00578" w:rsidRDefault="00A00578" w:rsidP="00A00578">
      <w:pPr>
        <w:contextualSpacing/>
        <w:rPr>
          <w:b/>
          <w:sz w:val="28"/>
          <w:szCs w:val="28"/>
        </w:rPr>
      </w:pP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Osnovni izvori financiranja Ustanove jesu:</w:t>
      </w: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Prihodi iz proračuna za financiranje redovne djelatnosti</w:t>
      </w:r>
    </w:p>
    <w:p w:rsidR="00A00578" w:rsidRDefault="00A00578" w:rsidP="00A0057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Prihodi po posebnim propisima (participacije i </w:t>
      </w:r>
      <w:proofErr w:type="spellStart"/>
      <w:r>
        <w:rPr>
          <w:sz w:val="24"/>
          <w:szCs w:val="24"/>
        </w:rPr>
        <w:t>opskrbnine</w:t>
      </w:r>
      <w:proofErr w:type="spellEnd"/>
      <w:r>
        <w:rPr>
          <w:sz w:val="24"/>
          <w:szCs w:val="24"/>
        </w:rPr>
        <w:t>, sufinanciranje usluga..)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Planirani rashodi i izdaci kao i prihodi za razdoblje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– 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. godine uvjetovani su propisanim limitima tako je i financijski plan izrađen u skladu sa zadanim smjernicama.</w:t>
      </w:r>
    </w:p>
    <w:p w:rsidR="00A00578" w:rsidRDefault="00A00578" w:rsidP="00A00578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 xml:space="preserve"> Rashodi za zaposlene planirani su sukladno Zakonu o proračunu pri tome uvažavajući Kolektivni ugovor za djelatnost i Temeljni kolektivni ugovor za službenike i namještenike u javnim službama.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 xml:space="preserve">Prava zaposlenika : jubilarne nagrade, naknadu za duže bolovanje, Dar za </w:t>
      </w:r>
      <w:proofErr w:type="spellStart"/>
      <w:r>
        <w:rPr>
          <w:sz w:val="24"/>
          <w:szCs w:val="24"/>
        </w:rPr>
        <w:t>Sv.Nikolu</w:t>
      </w:r>
      <w:proofErr w:type="spellEnd"/>
      <w:r>
        <w:rPr>
          <w:sz w:val="24"/>
          <w:szCs w:val="24"/>
        </w:rPr>
        <w:t>, regres , Božićnica .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 xml:space="preserve">Broj zaposlenih na dan </w:t>
      </w:r>
      <w:r>
        <w:rPr>
          <w:sz w:val="24"/>
          <w:szCs w:val="24"/>
        </w:rPr>
        <w:t>30.09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je </w:t>
      </w:r>
      <w:r>
        <w:rPr>
          <w:sz w:val="24"/>
          <w:szCs w:val="24"/>
        </w:rPr>
        <w:t>34</w:t>
      </w:r>
      <w:r>
        <w:rPr>
          <w:sz w:val="24"/>
          <w:szCs w:val="24"/>
        </w:rPr>
        <w:t>.</w:t>
      </w:r>
    </w:p>
    <w:p w:rsidR="00A00578" w:rsidRDefault="00A00578" w:rsidP="00A00578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Materijalni rashodi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Materijalni rashodi – grupa 32 planirani su u skladu sa zadanim smjernicama i danim limitima za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- 202</w:t>
      </w:r>
      <w:r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.g. 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Broj korisnika se ne planira značajnije mijenjati te smo se vodili realizacijom prethodnog razdoblja i zadanim limitom.</w:t>
      </w:r>
    </w:p>
    <w:p w:rsidR="00A00578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Izvor fin.:43 planirani su rashodi u visini očekivanih prihoda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Planirani su rashodi za koje očekujemo da nećemo imati dovoljno sredstava na IF 11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Izvor fin.: 52 planirani su rashodi u visini  planiranih prihoda ( uglavnom se tu radi o financiranju Zimske likovne kolonije i Galerije)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A00578" w:rsidRPr="001228B2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Izvor fin.: 31 planirani su rashodi u visini očekivanih prihoda</w:t>
      </w:r>
    </w:p>
    <w:p w:rsidR="00A00578" w:rsidRDefault="00A00578" w:rsidP="00A00578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Financijski rashodi – grupa 34 planirani su rashodi za naknade banci , odnosno FINI .</w:t>
      </w:r>
    </w:p>
    <w:p w:rsidR="00A00578" w:rsidRDefault="00A00578" w:rsidP="00A00578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Naknade građanima i kućanstvima – grupa 37 planirana su u skladu sa pravima korisnika prema Zakonu o socijalnoj skrbi te  naputkom za izradu plana.</w:t>
      </w: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A00578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rPr>
          <w:sz w:val="24"/>
          <w:szCs w:val="24"/>
        </w:rPr>
      </w:pPr>
      <w:r>
        <w:rPr>
          <w:sz w:val="24"/>
          <w:szCs w:val="24"/>
        </w:rPr>
        <w:t>Željeli bi naglasiti da bez obzira na sve napore koje ulažemo u cilju opće štednje na pojedine stavke odnosno nepredviđene rashode ne možemo utjecati niti sve predvidjeti.</w:t>
      </w:r>
    </w:p>
    <w:p w:rsidR="00A00578" w:rsidRDefault="00A00578" w:rsidP="00A00578">
      <w:pPr>
        <w:contextualSpacing/>
        <w:rPr>
          <w:sz w:val="24"/>
          <w:szCs w:val="24"/>
        </w:rPr>
      </w:pPr>
      <w:r>
        <w:rPr>
          <w:sz w:val="24"/>
          <w:szCs w:val="24"/>
        </w:rPr>
        <w:t>Planirani rashodi  za skupine rashoda (32+34+37) su do visine zadanih limita .</w:t>
      </w:r>
    </w:p>
    <w:p w:rsidR="00A00578" w:rsidRPr="0027656B" w:rsidRDefault="00A00578" w:rsidP="00A00578">
      <w:pPr>
        <w:rPr>
          <w:sz w:val="24"/>
          <w:szCs w:val="24"/>
        </w:rPr>
      </w:pPr>
    </w:p>
    <w:p w:rsidR="00A00578" w:rsidRPr="00CB553E" w:rsidRDefault="00A00578" w:rsidP="00A00578">
      <w:pPr>
        <w:pStyle w:val="Odlomakpopisa"/>
        <w:rPr>
          <w:sz w:val="24"/>
          <w:szCs w:val="24"/>
        </w:rPr>
      </w:pPr>
    </w:p>
    <w:p w:rsidR="00A00578" w:rsidRPr="0071650C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contextualSpacing/>
        <w:rPr>
          <w:sz w:val="24"/>
          <w:szCs w:val="24"/>
        </w:rPr>
      </w:pPr>
    </w:p>
    <w:p w:rsidR="00A00578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rPr>
          <w:sz w:val="24"/>
          <w:szCs w:val="24"/>
        </w:rPr>
      </w:pPr>
    </w:p>
    <w:p w:rsidR="00A00578" w:rsidRDefault="00A00578" w:rsidP="00A00578">
      <w:pPr>
        <w:spacing w:line="240" w:lineRule="atLeast"/>
        <w:rPr>
          <w:sz w:val="24"/>
          <w:szCs w:val="24"/>
        </w:rPr>
      </w:pPr>
    </w:p>
    <w:p w:rsidR="00A00578" w:rsidRPr="008811F2" w:rsidRDefault="00A00578" w:rsidP="00A00578">
      <w:pPr>
        <w:rPr>
          <w:sz w:val="24"/>
          <w:szCs w:val="24"/>
        </w:rPr>
      </w:pPr>
    </w:p>
    <w:p w:rsidR="00A00578" w:rsidRPr="008811F2" w:rsidRDefault="00A00578" w:rsidP="00A00578">
      <w:pPr>
        <w:rPr>
          <w:sz w:val="24"/>
          <w:szCs w:val="24"/>
        </w:rPr>
      </w:pPr>
    </w:p>
    <w:p w:rsidR="00A00578" w:rsidRDefault="00A00578" w:rsidP="00A00578"/>
    <w:p w:rsidR="00A00578" w:rsidRDefault="00A00578" w:rsidP="00A00578"/>
    <w:p w:rsidR="00A00578" w:rsidRDefault="00A00578" w:rsidP="00A00578"/>
    <w:p w:rsidR="00A00578" w:rsidRDefault="00A00578" w:rsidP="00A00578"/>
    <w:p w:rsidR="00A00578" w:rsidRDefault="00A00578" w:rsidP="00A00578">
      <w:pPr>
        <w:spacing w:line="240" w:lineRule="exact"/>
      </w:pPr>
    </w:p>
    <w:p w:rsidR="00A00578" w:rsidRDefault="00A00578" w:rsidP="00A00578"/>
    <w:p w:rsidR="00A00578" w:rsidRDefault="00A00578" w:rsidP="00A00578">
      <w:pPr>
        <w:spacing w:line="240" w:lineRule="exact"/>
      </w:pPr>
    </w:p>
    <w:p w:rsidR="00A00578" w:rsidRDefault="00A00578" w:rsidP="00A00578"/>
    <w:p w:rsidR="00A00578" w:rsidRDefault="00A00578" w:rsidP="00A00578"/>
    <w:p w:rsidR="00A00578" w:rsidRDefault="00A00578" w:rsidP="00A00578"/>
    <w:p w:rsidR="00A00578" w:rsidRDefault="00A00578" w:rsidP="00A00578"/>
    <w:p w:rsidR="00A00578" w:rsidRDefault="00A00578" w:rsidP="00A00578"/>
    <w:p w:rsidR="000A0FDC" w:rsidRDefault="000A0FDC"/>
    <w:sectPr w:rsidR="000A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CE"/>
    <w:multiLevelType w:val="hybridMultilevel"/>
    <w:tmpl w:val="3508D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EBF"/>
    <w:multiLevelType w:val="hybridMultilevel"/>
    <w:tmpl w:val="F3024994"/>
    <w:lvl w:ilvl="0" w:tplc="D862E8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F3E"/>
    <w:multiLevelType w:val="multilevel"/>
    <w:tmpl w:val="DCE2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8"/>
    <w:rsid w:val="000A0FDC"/>
    <w:rsid w:val="00A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B5B"/>
  <w15:chartTrackingRefBased/>
  <w15:docId w15:val="{2B15F1ED-B9CA-4C68-9B47-5AFE9CED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78"/>
    <w:pPr>
      <w:spacing w:after="100" w:afterAutospacing="1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1</cp:revision>
  <dcterms:created xsi:type="dcterms:W3CDTF">2022-10-07T14:18:00Z</dcterms:created>
  <dcterms:modified xsi:type="dcterms:W3CDTF">2022-10-07T14:27:00Z</dcterms:modified>
</cp:coreProperties>
</file>